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EEEFF" w14:textId="7BAF7711" w:rsidR="0031064C" w:rsidRPr="00EF4DB3" w:rsidRDefault="008E11C7" w:rsidP="0031064C">
      <w:pPr>
        <w:rPr>
          <w:rFonts w:ascii="Times New Roman" w:hAnsi="Times New Roman" w:cs="Times New Roman"/>
          <w:b/>
          <w:sz w:val="20"/>
          <w:szCs w:val="20"/>
          <w:lang w:val="en-GB"/>
        </w:rPr>
      </w:pPr>
      <w:bookmarkStart w:id="0" w:name="_GoBack"/>
      <w:bookmarkEnd w:id="0"/>
      <w:r w:rsidRPr="00EF4DB3">
        <w:rPr>
          <w:rFonts w:ascii="Times New Roman" w:eastAsia="Times New Roman" w:hAnsi="Times New Roman" w:cs="Times New Roman"/>
          <w:b/>
          <w:sz w:val="20"/>
          <w:szCs w:val="20"/>
          <w:lang w:val="en-GB" w:eastAsia="es-ES"/>
        </w:rPr>
        <w:t>S.26</w:t>
      </w:r>
      <w:r w:rsidR="0031064C" w:rsidRPr="00EF4DB3">
        <w:rPr>
          <w:rFonts w:ascii="Times New Roman" w:eastAsia="Times New Roman" w:hAnsi="Times New Roman" w:cs="Times New Roman"/>
          <w:b/>
          <w:sz w:val="20"/>
          <w:szCs w:val="20"/>
          <w:lang w:val="en-GB" w:eastAsia="es-ES"/>
        </w:rPr>
        <w:t xml:space="preserve">.05. - Solvency Capital Requirement – non–life underwriting risk </w:t>
      </w:r>
    </w:p>
    <w:p w14:paraId="2632B64F" w14:textId="77777777" w:rsidR="0031064C" w:rsidRPr="00EF4DB3" w:rsidRDefault="0031064C" w:rsidP="0031064C">
      <w:pPr>
        <w:spacing w:after="0" w:line="240" w:lineRule="auto"/>
        <w:rPr>
          <w:rFonts w:ascii="Times New Roman" w:eastAsia="Times New Roman" w:hAnsi="Times New Roman" w:cs="Times New Roman"/>
          <w:b/>
          <w:sz w:val="20"/>
          <w:szCs w:val="20"/>
          <w:lang w:val="en-GB" w:eastAsia="es-ES"/>
        </w:rPr>
      </w:pPr>
      <w:r w:rsidRPr="00EF4DB3">
        <w:rPr>
          <w:rFonts w:ascii="Times New Roman" w:eastAsia="Times New Roman" w:hAnsi="Times New Roman" w:cs="Times New Roman"/>
          <w:b/>
          <w:sz w:val="20"/>
          <w:szCs w:val="20"/>
          <w:lang w:val="en-GB" w:eastAsia="es-ES"/>
        </w:rPr>
        <w:t xml:space="preserve">General comments: </w:t>
      </w:r>
    </w:p>
    <w:p w14:paraId="0288BF68"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r w:rsidRPr="00EF4DB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60FD76B6"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annex relates to annual submission of information for </w:t>
      </w:r>
      <w:r w:rsidR="006A1AA2" w:rsidRPr="00EF4DB3">
        <w:rPr>
          <w:rFonts w:ascii="Times New Roman" w:hAnsi="Times New Roman" w:cs="Times New Roman"/>
          <w:sz w:val="20"/>
          <w:szCs w:val="20"/>
          <w:lang w:val="en-GB"/>
        </w:rPr>
        <w:t>groups</w:t>
      </w:r>
      <w:r w:rsidRPr="00EF4DB3">
        <w:rPr>
          <w:rFonts w:ascii="Times New Roman" w:hAnsi="Times New Roman" w:cs="Times New Roman"/>
          <w:sz w:val="20"/>
          <w:szCs w:val="20"/>
          <w:lang w:val="en-GB"/>
        </w:rPr>
        <w:t xml:space="preserve">, ring fenced-funds, matching </w:t>
      </w:r>
      <w:r w:rsidR="00C769FD" w:rsidRPr="00EF4DB3">
        <w:rPr>
          <w:rFonts w:ascii="Times New Roman" w:hAnsi="Times New Roman" w:cs="Times New Roman"/>
          <w:sz w:val="20"/>
          <w:szCs w:val="20"/>
          <w:lang w:val="en-GB"/>
        </w:rPr>
        <w:t xml:space="preserve">adjustment </w:t>
      </w:r>
      <w:r w:rsidRPr="00EF4DB3">
        <w:rPr>
          <w:rFonts w:ascii="Times New Roman" w:hAnsi="Times New Roman" w:cs="Times New Roman"/>
          <w:sz w:val="20"/>
          <w:szCs w:val="20"/>
          <w:lang w:val="en-GB"/>
        </w:rPr>
        <w:t>portfolios and remaining part.</w:t>
      </w:r>
    </w:p>
    <w:p w14:paraId="0BE6FB20" w14:textId="2ED5E2C6"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The variant S.26.05.l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7102023C" w14:textId="77777777" w:rsidR="002C2245" w:rsidRPr="00EF4DB3" w:rsidRDefault="002C2245" w:rsidP="002C2245">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All values shall be reported net of reinsurance and other risk mitigating techniques. </w:t>
      </w:r>
    </w:p>
    <w:p w14:paraId="7E00C0B9" w14:textId="77777777" w:rsidR="00B17BA5" w:rsidRPr="00EF4DB3" w:rsidRDefault="00B17BA5" w:rsidP="00EF4DB3">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For group reporting the following specific requirements shall be met: </w:t>
      </w:r>
    </w:p>
    <w:p w14:paraId="7DEE87CB" w14:textId="4D55E777"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is applicable when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used,  either  exclusively  or  in  combination with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w:t>
      </w:r>
    </w:p>
    <w:p w14:paraId="42DC6A10" w14:textId="68EB67F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and; </w:t>
      </w:r>
    </w:p>
    <w:p w14:paraId="1CDDB045" w14:textId="3F86858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does not apply to groups when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being used exclusively.</w:t>
      </w:r>
    </w:p>
    <w:tbl>
      <w:tblPr>
        <w:tblW w:w="9361" w:type="dxa"/>
        <w:tblInd w:w="70" w:type="dxa"/>
        <w:tblCellMar>
          <w:left w:w="70" w:type="dxa"/>
          <w:right w:w="70" w:type="dxa"/>
        </w:tblCellMar>
        <w:tblLook w:val="04A0" w:firstRow="1" w:lastRow="0" w:firstColumn="1" w:lastColumn="0" w:noHBand="0" w:noVBand="1"/>
      </w:tblPr>
      <w:tblGrid>
        <w:gridCol w:w="1281"/>
        <w:gridCol w:w="2317"/>
        <w:gridCol w:w="5763"/>
      </w:tblGrid>
      <w:tr w:rsidR="00230D8D" w:rsidRPr="00EF4DB3" w14:paraId="0E39B044" w14:textId="77777777" w:rsidTr="00EF4DB3">
        <w:trPr>
          <w:trHeight w:val="50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B7BEE22" w14:textId="7777777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14:paraId="5C6B864F" w14:textId="69EF992D"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240C7D90" w14:textId="27D4396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INSTRUCTIONS</w:t>
            </w:r>
          </w:p>
        </w:tc>
      </w:tr>
      <w:tr w:rsidR="0031064C" w:rsidRPr="00EF4DB3" w14:paraId="0FE8710F" w14:textId="77777777" w:rsidTr="00EF4DB3">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D9C686D" w14:textId="77777777"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Z0010</w:t>
            </w:r>
          </w:p>
          <w:p w14:paraId="5EB5D895" w14:textId="045F0C58" w:rsidR="0031064C" w:rsidRPr="00EF4DB3" w:rsidDel="00717935"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(A001)</w:t>
            </w:r>
          </w:p>
        </w:tc>
        <w:tc>
          <w:tcPr>
            <w:tcW w:w="2317" w:type="dxa"/>
            <w:tcBorders>
              <w:top w:val="single" w:sz="4" w:space="0" w:color="auto"/>
              <w:left w:val="nil"/>
              <w:bottom w:val="single" w:sz="4" w:space="0" w:color="auto"/>
              <w:right w:val="single" w:sz="4" w:space="0" w:color="auto"/>
            </w:tcBorders>
            <w:shd w:val="clear" w:color="auto" w:fill="auto"/>
          </w:tcPr>
          <w:p w14:paraId="0142B4BC" w14:textId="5F0DDF44"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BC7F68B" w14:textId="4566FD7E"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Identifies whether the reported figures have been requested under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49F9C0" w14:textId="0EC20C85"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1 –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reporting</w:t>
            </w:r>
          </w:p>
          <w:p w14:paraId="771C3349" w14:textId="7DB25B10"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Regular reporting</w:t>
            </w:r>
          </w:p>
        </w:tc>
      </w:tr>
      <w:tr w:rsidR="0031064C" w:rsidRPr="00EF4DB3" w14:paraId="4E840618" w14:textId="77777777" w:rsidTr="00EF4DB3">
        <w:trPr>
          <w:trHeight w:val="1368"/>
        </w:trPr>
        <w:tc>
          <w:tcPr>
            <w:tcW w:w="1281" w:type="dxa"/>
            <w:tcBorders>
              <w:top w:val="nil"/>
              <w:left w:val="single" w:sz="4" w:space="0" w:color="auto"/>
              <w:bottom w:val="single" w:sz="4" w:space="0" w:color="auto"/>
              <w:right w:val="single" w:sz="4" w:space="0" w:color="auto"/>
            </w:tcBorders>
            <w:shd w:val="clear" w:color="auto" w:fill="auto"/>
          </w:tcPr>
          <w:p w14:paraId="5C2FA732"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Z0020</w:t>
            </w:r>
          </w:p>
          <w:p w14:paraId="2B2E13DD" w14:textId="66D2F95C"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14:paraId="21BCD1F0" w14:textId="059153DC"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Ring-fenced fund,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35837639" w14:textId="44BFE8D4" w:rsidR="00D574EC" w:rsidRPr="00EF4DB3" w:rsidRDefault="0031064C" w:rsidP="00D574E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to the remaining part. One of the options in the following closed list shall be used:</w:t>
            </w:r>
            <w:r w:rsidRPr="00EF4DB3">
              <w:rPr>
                <w:rFonts w:ascii="Times New Roman" w:eastAsia="Times New Roman" w:hAnsi="Times New Roman" w:cs="Times New Roman"/>
                <w:sz w:val="20"/>
                <w:szCs w:val="20"/>
                <w:lang w:val="en-GB" w:eastAsia="es-ES"/>
              </w:rPr>
              <w:br/>
            </w:r>
            <w:r w:rsidR="00D574EC" w:rsidRPr="00EF4DB3">
              <w:rPr>
                <w:rFonts w:ascii="Times New Roman" w:eastAsia="Times New Roman" w:hAnsi="Times New Roman" w:cs="Times New Roman"/>
                <w:sz w:val="20"/>
                <w:szCs w:val="20"/>
                <w:lang w:val="en-GB" w:eastAsia="es-ES"/>
              </w:rPr>
              <w:t>1 – RFF/MAP</w:t>
            </w:r>
            <w:r w:rsidR="00D574EC" w:rsidRPr="00EF4DB3" w:rsidDel="00C11F0B">
              <w:rPr>
                <w:rFonts w:ascii="Times New Roman" w:eastAsia="Times New Roman" w:hAnsi="Times New Roman" w:cs="Times New Roman"/>
                <w:sz w:val="20"/>
                <w:szCs w:val="20"/>
                <w:lang w:val="en-GB" w:eastAsia="es-ES"/>
              </w:rPr>
              <w:t xml:space="preserve"> </w:t>
            </w:r>
            <w:r w:rsidR="00D574EC" w:rsidRPr="00EF4DB3">
              <w:rPr>
                <w:rFonts w:ascii="Times New Roman" w:eastAsia="Times New Roman" w:hAnsi="Times New Roman" w:cs="Times New Roman"/>
                <w:sz w:val="20"/>
                <w:szCs w:val="20"/>
                <w:lang w:val="en-GB" w:eastAsia="es-ES"/>
              </w:rPr>
              <w:br/>
              <w:t>2 – Remaining part</w:t>
            </w:r>
          </w:p>
          <w:p w14:paraId="0EB846E2" w14:textId="17F88E9A"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p>
        </w:tc>
      </w:tr>
      <w:tr w:rsidR="0031064C" w:rsidRPr="00EF4DB3" w14:paraId="35C89A3B" w14:textId="77777777" w:rsidTr="00EF4DB3">
        <w:trPr>
          <w:trHeight w:val="1275"/>
        </w:trPr>
        <w:tc>
          <w:tcPr>
            <w:tcW w:w="1281" w:type="dxa"/>
            <w:tcBorders>
              <w:top w:val="nil"/>
              <w:left w:val="single" w:sz="4" w:space="0" w:color="auto"/>
              <w:bottom w:val="single" w:sz="4" w:space="0" w:color="auto"/>
              <w:right w:val="single" w:sz="4" w:space="0" w:color="auto"/>
            </w:tcBorders>
            <w:shd w:val="clear" w:color="auto" w:fill="auto"/>
          </w:tcPr>
          <w:p w14:paraId="7C827890"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Z0030</w:t>
            </w:r>
          </w:p>
          <w:p w14:paraId="34581B22"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w:t>
            </w:r>
          </w:p>
        </w:tc>
        <w:tc>
          <w:tcPr>
            <w:tcW w:w="2317" w:type="dxa"/>
            <w:tcBorders>
              <w:top w:val="single" w:sz="4" w:space="0" w:color="auto"/>
              <w:left w:val="nil"/>
              <w:bottom w:val="single" w:sz="4" w:space="0" w:color="auto"/>
              <w:right w:val="single" w:sz="4" w:space="0" w:color="auto"/>
            </w:tcBorders>
            <w:shd w:val="clear" w:color="auto" w:fill="auto"/>
            <w:hideMark/>
          </w:tcPr>
          <w:p w14:paraId="3315B3B4" w14:textId="422F3A4D"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1516DF8" w14:textId="6D61B777"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Identification number for a ring fenced fund or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 xml:space="preserve">portfolio. This number is attributed by the undertaking </w:t>
            </w:r>
            <w:r w:rsidR="00D94CDD" w:rsidRPr="00EF4DB3">
              <w:rPr>
                <w:rFonts w:ascii="Times New Roman" w:eastAsia="Times New Roman" w:hAnsi="Times New Roman" w:cs="Times New Roman"/>
                <w:sz w:val="20"/>
                <w:szCs w:val="20"/>
                <w:lang w:val="en-GB" w:eastAsia="es-ES"/>
              </w:rPr>
              <w:t xml:space="preserve">within the group </w:t>
            </w:r>
            <w:r w:rsidRPr="00EF4DB3">
              <w:rPr>
                <w:rFonts w:ascii="Times New Roman" w:eastAsia="Times New Roman" w:hAnsi="Times New Roman" w:cs="Times New Roman"/>
                <w:sz w:val="20"/>
                <w:szCs w:val="20"/>
                <w:lang w:val="en-GB" w:eastAsia="es-ES"/>
              </w:rPr>
              <w:t xml:space="preserve">and must be consistent over time and with the fund/portfolio number reported in other templates, e.g. S.26.02, S.14.01, S.23.01. </w:t>
            </w:r>
          </w:p>
          <w:p w14:paraId="1BF49418" w14:textId="77777777"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10E21DC2"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to be completed only when item Z0020 = 1 </w:t>
            </w:r>
          </w:p>
        </w:tc>
      </w:tr>
      <w:tr w:rsidR="00230D8D" w:rsidRPr="00EF4DB3" w14:paraId="20764C9D" w14:textId="77777777" w:rsidTr="00EF4DB3">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786FC25" w14:textId="7ADCB96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R0010/C0010</w:t>
            </w:r>
          </w:p>
          <w:p w14:paraId="7C034F3A" w14:textId="260354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(A001)</w:t>
            </w:r>
          </w:p>
          <w:p w14:paraId="6083DB8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3D8A8E55" w14:textId="00C1100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Captives simplifications – non life premium and reserve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59DCAB65" w14:textId="3A5FB191" w:rsidR="0031064C" w:rsidRPr="00EF4DB3" w:rsidRDefault="00230D8D"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Identify whether a captive undertaking</w:t>
            </w:r>
            <w:r w:rsidR="00D94CDD" w:rsidRPr="00EF4DB3">
              <w:rPr>
                <w:rFonts w:ascii="Times New Roman" w:eastAsia="Times New Roman" w:hAnsi="Times New Roman" w:cs="Times New Roman"/>
                <w:sz w:val="20"/>
                <w:szCs w:val="20"/>
                <w:lang w:val="en-GB" w:eastAsia="es-ES"/>
              </w:rPr>
              <w:t xml:space="preserve"> within the group</w:t>
            </w:r>
            <w:r w:rsidRPr="00EF4DB3">
              <w:rPr>
                <w:rFonts w:ascii="Times New Roman" w:eastAsia="Times New Roman" w:hAnsi="Times New Roman" w:cs="Times New Roman"/>
                <w:sz w:val="20"/>
                <w:szCs w:val="20"/>
                <w:lang w:val="en-GB" w:eastAsia="es-ES"/>
              </w:rPr>
              <w:t xml:space="preserve"> used simplifications for the calculation of non-life premium and reserve risk.  </w:t>
            </w:r>
            <w:r w:rsidR="0031064C" w:rsidRPr="00EF4DB3">
              <w:rPr>
                <w:rFonts w:ascii="Times New Roman" w:eastAsia="Times New Roman" w:hAnsi="Times New Roman" w:cs="Times New Roman"/>
                <w:sz w:val="20"/>
                <w:szCs w:val="20"/>
                <w:lang w:val="en-GB" w:eastAsia="es-ES"/>
              </w:rPr>
              <w:t>One of the options in the following closed list shall be used:</w:t>
            </w:r>
            <w:r w:rsidR="0031064C" w:rsidRPr="00EF4DB3">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Simplifications not used</w:t>
            </w:r>
          </w:p>
          <w:p w14:paraId="5FCB69C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R0010/C0010 = 1, only C0050, C0060 and C0080 should be filled in for R0100 – R0230.</w:t>
            </w:r>
          </w:p>
        </w:tc>
      </w:tr>
      <w:tr w:rsidR="00230D8D" w:rsidRPr="00EF4DB3" w14:paraId="047FA8CB" w14:textId="77777777" w:rsidTr="00EF4DB3">
        <w:trPr>
          <w:trHeight w:val="285"/>
        </w:trPr>
        <w:tc>
          <w:tcPr>
            <w:tcW w:w="9361" w:type="dxa"/>
            <w:gridSpan w:val="3"/>
            <w:tcBorders>
              <w:top w:val="single" w:sz="4" w:space="0" w:color="auto"/>
              <w:left w:val="nil"/>
              <w:bottom w:val="single" w:sz="4" w:space="0" w:color="auto"/>
              <w:right w:val="nil"/>
            </w:tcBorders>
            <w:shd w:val="clear" w:color="auto" w:fill="auto"/>
          </w:tcPr>
          <w:p w14:paraId="26A7190E" w14:textId="77777777"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p>
          <w:p w14:paraId="73790347" w14:textId="31E9013C"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premium and Reserve Risk </w:t>
            </w:r>
          </w:p>
        </w:tc>
      </w:tr>
      <w:tr w:rsidR="00230D8D" w:rsidRPr="00EF4DB3" w14:paraId="3D0A614A" w14:textId="77777777" w:rsidTr="00EF4DB3">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36166B8F" w14:textId="2106ECE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lastRenderedPageBreak/>
              <w:t>R0100-R0210/C0020</w:t>
            </w:r>
          </w:p>
          <w:p w14:paraId="297FF94F" w14:textId="715BC954"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 – A12)</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2D8C234B" w14:textId="21BBC964"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32B4AE" w14:textId="2DD1AAA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standard deviation for premium risk for each segment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584A7F81" w14:textId="5F8C39C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31064C" w:rsidRPr="00EF4DB3" w14:paraId="325B2E9C" w14:textId="77777777" w:rsidTr="00EF4DB3">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14CFF40"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R0100-R0210/C0030</w:t>
            </w:r>
          </w:p>
          <w:p w14:paraId="0B250949" w14:textId="43BDE3C6" w:rsidR="0031064C" w:rsidRPr="00EF4DB3" w:rsidDel="00717935" w:rsidRDefault="0031064C" w:rsidP="0031064C">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6E1F0DD" w14:textId="08860D23" w:rsidR="0031064C" w:rsidRPr="00EF4DB3"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128BFADD" w14:textId="74A711B0" w:rsidR="0031064C" w:rsidRPr="00EF4DB3" w:rsidRDefault="0031064C" w:rsidP="00EF4DB3">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Identify if the USP standard Deviation was </w:t>
            </w:r>
            <w:r w:rsidR="00BF0FF6" w:rsidRPr="00EF4DB3">
              <w:rPr>
                <w:rFonts w:ascii="Times New Roman" w:eastAsia="Times New Roman" w:hAnsi="Times New Roman" w:cs="Times New Roman"/>
                <w:sz w:val="20"/>
                <w:szCs w:val="20"/>
                <w:lang w:val="en-GB" w:eastAsia="es-ES"/>
              </w:rPr>
              <w:t>applied</w:t>
            </w:r>
            <w:r w:rsidRPr="00EF4DB3">
              <w:rPr>
                <w:rFonts w:ascii="Times New Roman" w:eastAsia="Times New Roman" w:hAnsi="Times New Roman" w:cs="Times New Roman"/>
                <w:sz w:val="20"/>
                <w:szCs w:val="20"/>
                <w:lang w:val="en-GB" w:eastAsia="es-ES"/>
              </w:rPr>
              <w:t xml:space="preserve"> gros</w:t>
            </w:r>
            <w:r w:rsidR="00BF0FF6">
              <w:rPr>
                <w:rFonts w:ascii="Times New Roman" w:eastAsia="Times New Roman" w:hAnsi="Times New Roman" w:cs="Times New Roman"/>
                <w:sz w:val="20"/>
                <w:szCs w:val="20"/>
                <w:lang w:val="en-GB" w:eastAsia="es-ES"/>
              </w:rPr>
              <w:t xml:space="preserve">s </w:t>
            </w:r>
            <w:r w:rsidRPr="00EF4DB3">
              <w:rPr>
                <w:rFonts w:ascii="Times New Roman" w:eastAsia="Times New Roman" w:hAnsi="Times New Roman" w:cs="Times New Roman"/>
                <w:sz w:val="20"/>
                <w:szCs w:val="20"/>
                <w:lang w:val="en-GB" w:eastAsia="es-ES"/>
              </w:rPr>
              <w:t>or net. One of the options in the following closed list shall be used:</w:t>
            </w:r>
            <w:r w:rsidRPr="00EF4DB3">
              <w:rPr>
                <w:rFonts w:ascii="Times New Roman" w:eastAsia="Times New Roman" w:hAnsi="Times New Roman" w:cs="Times New Roman"/>
                <w:sz w:val="20"/>
                <w:szCs w:val="20"/>
                <w:lang w:val="en-GB" w:eastAsia="es-ES"/>
              </w:rPr>
              <w:br/>
              <w:t>1 – USP gross</w:t>
            </w:r>
          </w:p>
          <w:p w14:paraId="44E222BB" w14:textId="26005CDF" w:rsidR="0031064C" w:rsidRPr="00EF4DB3" w:rsidDel="00737077"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USP net</w:t>
            </w:r>
          </w:p>
        </w:tc>
      </w:tr>
      <w:tr w:rsidR="00230D8D" w:rsidRPr="00EF4DB3" w14:paraId="35C1ACEB" w14:textId="77777777" w:rsidTr="00EF4DB3">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FF6D69F" w14:textId="1949FCA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31064C"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p w14:paraId="0C929E4B" w14:textId="1C960FB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(A1A – A12A)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6FCF6B66" w14:textId="466F2AF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763" w:type="dxa"/>
            <w:tcBorders>
              <w:top w:val="single" w:sz="4" w:space="0" w:color="auto"/>
              <w:left w:val="nil"/>
              <w:right w:val="single" w:sz="4" w:space="0" w:color="auto"/>
            </w:tcBorders>
            <w:shd w:val="clear" w:color="auto" w:fill="auto"/>
            <w:hideMark/>
          </w:tcPr>
          <w:p w14:paraId="03582530" w14:textId="46AE844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adjustment factor for non – proportional reinsurance of each segment allows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s to take into account the risk – mitigating effect of particular per risk excess of loss reinsurance -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67976319" w14:textId="3014E0A6"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230D8D" w:rsidRPr="00EF4DB3" w14:paraId="16A45225" w14:textId="77777777" w:rsidTr="00EF4DB3">
        <w:trPr>
          <w:trHeight w:val="1140"/>
        </w:trPr>
        <w:tc>
          <w:tcPr>
            <w:tcW w:w="1281" w:type="dxa"/>
            <w:vMerge w:val="restart"/>
            <w:tcBorders>
              <w:top w:val="nil"/>
              <w:left w:val="single" w:sz="4" w:space="0" w:color="auto"/>
              <w:bottom w:val="single" w:sz="4" w:space="0" w:color="auto"/>
              <w:right w:val="single" w:sz="4" w:space="0" w:color="auto"/>
            </w:tcBorders>
            <w:shd w:val="clear" w:color="auto" w:fill="auto"/>
          </w:tcPr>
          <w:p w14:paraId="4D23A8E3" w14:textId="5A12CB6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w:t>
            </w:r>
          </w:p>
          <w:p w14:paraId="4746A9AE" w14:textId="1F549B11"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 – B12)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7CE8562B" w14:textId="1E125EF4"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reserve risk – USP</w:t>
            </w:r>
          </w:p>
        </w:tc>
        <w:tc>
          <w:tcPr>
            <w:tcW w:w="5763" w:type="dxa"/>
            <w:tcBorders>
              <w:top w:val="single" w:sz="4" w:space="0" w:color="auto"/>
              <w:left w:val="nil"/>
              <w:bottom w:val="nil"/>
              <w:right w:val="single" w:sz="4" w:space="0" w:color="auto"/>
            </w:tcBorders>
            <w:shd w:val="clear" w:color="auto" w:fill="auto"/>
            <w:hideMark/>
          </w:tcPr>
          <w:p w14:paraId="02B3F6C2" w14:textId="52CFC0DA" w:rsidR="0004265E" w:rsidRPr="00EF4DB3" w:rsidRDefault="00230D8D" w:rsidP="0004265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standard deviation for reserve risk each segment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r w:rsidR="0004265E" w:rsidRPr="00EF4DB3">
              <w:rPr>
                <w:rFonts w:ascii="Times New Roman" w:eastAsia="Times New Roman" w:hAnsi="Times New Roman" w:cs="Times New Roman"/>
                <w:sz w:val="20"/>
                <w:szCs w:val="20"/>
                <w:lang w:val="en-GB" w:eastAsia="es-ES"/>
              </w:rPr>
              <w:t xml:space="preserve"> </w:t>
            </w:r>
          </w:p>
          <w:p w14:paraId="33EA8948" w14:textId="77777777" w:rsidR="0004265E" w:rsidRPr="00EF4DB3" w:rsidRDefault="0004265E" w:rsidP="0004265E">
            <w:pPr>
              <w:spacing w:after="0" w:line="240" w:lineRule="auto"/>
              <w:rPr>
                <w:rFonts w:ascii="Times New Roman" w:eastAsia="Times New Roman" w:hAnsi="Times New Roman" w:cs="Times New Roman"/>
                <w:sz w:val="20"/>
                <w:szCs w:val="20"/>
                <w:lang w:val="en-GB" w:eastAsia="es-ES"/>
              </w:rPr>
            </w:pPr>
          </w:p>
          <w:p w14:paraId="783EA747" w14:textId="4869323D" w:rsidR="00230D8D" w:rsidRPr="00EF4DB3" w:rsidRDefault="0004265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230D8D" w:rsidRPr="00EF4DB3" w14:paraId="55390C63" w14:textId="77777777" w:rsidTr="00EF4DB3">
        <w:trPr>
          <w:trHeight w:val="170"/>
        </w:trPr>
        <w:tc>
          <w:tcPr>
            <w:tcW w:w="1281" w:type="dxa"/>
            <w:vMerge/>
            <w:tcBorders>
              <w:top w:val="nil"/>
              <w:left w:val="single" w:sz="4" w:space="0" w:color="auto"/>
              <w:bottom w:val="single" w:sz="4" w:space="0" w:color="auto"/>
              <w:right w:val="single" w:sz="4" w:space="0" w:color="auto"/>
            </w:tcBorders>
            <w:vAlign w:val="center"/>
          </w:tcPr>
          <w:p w14:paraId="38F018F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6DFA155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19510BA9" w14:textId="77777777" w:rsidR="00230D8D" w:rsidRPr="00EF4DB3" w:rsidRDefault="00230D8D">
            <w:pPr>
              <w:spacing w:after="0" w:line="240" w:lineRule="auto"/>
              <w:rPr>
                <w:rFonts w:ascii="Times New Roman" w:eastAsia="Times New Roman" w:hAnsi="Times New Roman" w:cs="Times New Roman"/>
                <w:sz w:val="20"/>
                <w:szCs w:val="20"/>
                <w:lang w:val="en-GB" w:eastAsia="es-ES"/>
              </w:rPr>
            </w:pPr>
          </w:p>
        </w:tc>
      </w:tr>
      <w:tr w:rsidR="00230D8D" w:rsidRPr="00EF4DB3" w14:paraId="6817D846" w14:textId="77777777" w:rsidTr="00EF4DB3">
        <w:trPr>
          <w:trHeight w:val="1067"/>
        </w:trPr>
        <w:tc>
          <w:tcPr>
            <w:tcW w:w="1281" w:type="dxa"/>
            <w:tcBorders>
              <w:top w:val="nil"/>
              <w:left w:val="single" w:sz="4" w:space="0" w:color="auto"/>
              <w:bottom w:val="single" w:sz="4" w:space="0" w:color="auto"/>
              <w:right w:val="single" w:sz="4" w:space="0" w:color="auto"/>
            </w:tcBorders>
            <w:shd w:val="clear" w:color="auto" w:fill="auto"/>
          </w:tcPr>
          <w:p w14:paraId="2FA38745" w14:textId="0B9D9EC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769CD298" w14:textId="54250C7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(C1 – C12)</w:t>
            </w:r>
          </w:p>
        </w:tc>
        <w:tc>
          <w:tcPr>
            <w:tcW w:w="2317" w:type="dxa"/>
            <w:tcBorders>
              <w:top w:val="nil"/>
              <w:left w:val="nil"/>
              <w:bottom w:val="single" w:sz="4" w:space="0" w:color="auto"/>
              <w:right w:val="single" w:sz="4" w:space="0" w:color="auto"/>
            </w:tcBorders>
            <w:shd w:val="clear" w:color="auto" w:fill="auto"/>
            <w:hideMark/>
          </w:tcPr>
          <w:p w14:paraId="794803DB" w14:textId="38E20F1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Volume measure for premium and reserve risk –  volume measure for premium risk: Vprem</w:t>
            </w:r>
          </w:p>
        </w:tc>
        <w:tc>
          <w:tcPr>
            <w:tcW w:w="5763" w:type="dxa"/>
            <w:tcBorders>
              <w:top w:val="single" w:sz="4" w:space="0" w:color="auto"/>
              <w:left w:val="nil"/>
              <w:bottom w:val="nil"/>
              <w:right w:val="single" w:sz="4" w:space="0" w:color="auto"/>
            </w:tcBorders>
            <w:shd w:val="clear" w:color="auto" w:fill="auto"/>
            <w:hideMark/>
          </w:tcPr>
          <w:p w14:paraId="5AC8E576" w14:textId="1AE1527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premium risk for each line of business</w:t>
            </w:r>
          </w:p>
        </w:tc>
      </w:tr>
      <w:tr w:rsidR="00230D8D" w:rsidRPr="00EF4DB3" w14:paraId="6EB53408" w14:textId="77777777" w:rsidTr="00EF4DB3">
        <w:trPr>
          <w:trHeight w:val="1111"/>
        </w:trPr>
        <w:tc>
          <w:tcPr>
            <w:tcW w:w="1281" w:type="dxa"/>
            <w:tcBorders>
              <w:top w:val="nil"/>
              <w:left w:val="single" w:sz="4" w:space="0" w:color="auto"/>
              <w:bottom w:val="single" w:sz="4" w:space="0" w:color="auto"/>
              <w:right w:val="single" w:sz="4" w:space="0" w:color="auto"/>
            </w:tcBorders>
            <w:shd w:val="clear" w:color="auto" w:fill="auto"/>
          </w:tcPr>
          <w:p w14:paraId="3FAC3ADE" w14:textId="08B90AA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7</w:t>
            </w:r>
            <w:r w:rsidRPr="00EF4DB3">
              <w:rPr>
                <w:rFonts w:ascii="Times New Roman" w:eastAsia="Times New Roman" w:hAnsi="Times New Roman" w:cs="Times New Roman"/>
                <w:sz w:val="20"/>
                <w:szCs w:val="20"/>
                <w:lang w:val="en-GB" w:eastAsia="es-ES"/>
              </w:rPr>
              <w:t>0</w:t>
            </w:r>
          </w:p>
          <w:p w14:paraId="358816F1" w14:textId="55FC004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(D1 – D12)</w:t>
            </w:r>
          </w:p>
        </w:tc>
        <w:tc>
          <w:tcPr>
            <w:tcW w:w="2317" w:type="dxa"/>
            <w:tcBorders>
              <w:top w:val="nil"/>
              <w:left w:val="nil"/>
              <w:bottom w:val="single" w:sz="4" w:space="0" w:color="auto"/>
              <w:right w:val="single" w:sz="4" w:space="0" w:color="auto"/>
            </w:tcBorders>
            <w:shd w:val="clear" w:color="auto" w:fill="auto"/>
            <w:hideMark/>
          </w:tcPr>
          <w:p w14:paraId="40E4DCF7" w14:textId="3DD9770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Volume measure for premium and reserve risk –Volume measure reserve risk:  Vres</w:t>
            </w:r>
          </w:p>
        </w:tc>
        <w:tc>
          <w:tcPr>
            <w:tcW w:w="5763" w:type="dxa"/>
            <w:tcBorders>
              <w:top w:val="single" w:sz="4" w:space="0" w:color="auto"/>
              <w:left w:val="nil"/>
              <w:bottom w:val="nil"/>
              <w:right w:val="single" w:sz="4" w:space="0" w:color="auto"/>
            </w:tcBorders>
            <w:shd w:val="clear" w:color="auto" w:fill="auto"/>
            <w:hideMark/>
          </w:tcPr>
          <w:p w14:paraId="26FDB929" w14:textId="4FCC514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230D8D" w:rsidRPr="00EF4DB3" w14:paraId="5FCE84F6" w14:textId="77777777" w:rsidTr="00EF4DB3">
        <w:trPr>
          <w:trHeight w:val="285"/>
        </w:trPr>
        <w:tc>
          <w:tcPr>
            <w:tcW w:w="1281" w:type="dxa"/>
            <w:vMerge w:val="restart"/>
            <w:tcBorders>
              <w:top w:val="nil"/>
              <w:left w:val="single" w:sz="4" w:space="0" w:color="auto"/>
              <w:bottom w:val="single" w:sz="4" w:space="0" w:color="auto"/>
              <w:right w:val="single" w:sz="4" w:space="0" w:color="auto"/>
            </w:tcBorders>
            <w:shd w:val="clear" w:color="auto" w:fill="auto"/>
          </w:tcPr>
          <w:p w14:paraId="3C2116F3" w14:textId="2CC93770"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8</w:t>
            </w:r>
            <w:r w:rsidRPr="00EF4DB3">
              <w:rPr>
                <w:rFonts w:ascii="Times New Roman" w:eastAsia="Times New Roman" w:hAnsi="Times New Roman" w:cs="Times New Roman"/>
                <w:sz w:val="20"/>
                <w:szCs w:val="20"/>
                <w:lang w:val="en-GB" w:eastAsia="es-ES"/>
              </w:rPr>
              <w:t>0</w:t>
            </w:r>
          </w:p>
          <w:p w14:paraId="114D1ED4" w14:textId="3FA3004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(E1- E12)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56A46070" w14:textId="3E609F66"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763" w:type="dxa"/>
            <w:tcBorders>
              <w:top w:val="single" w:sz="4" w:space="0" w:color="auto"/>
              <w:left w:val="nil"/>
              <w:bottom w:val="nil"/>
              <w:right w:val="single" w:sz="4" w:space="0" w:color="auto"/>
            </w:tcBorders>
            <w:shd w:val="clear" w:color="auto" w:fill="auto"/>
            <w:hideMark/>
          </w:tcPr>
          <w:p w14:paraId="7B149614" w14:textId="05DA9C4F"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Geographical diversification used for the volume measure for each segment</w:t>
            </w:r>
          </w:p>
        </w:tc>
      </w:tr>
      <w:tr w:rsidR="00230D8D" w:rsidRPr="00EF4DB3" w14:paraId="78C81B50" w14:textId="77777777" w:rsidTr="00EF4DB3">
        <w:trPr>
          <w:trHeight w:val="666"/>
        </w:trPr>
        <w:tc>
          <w:tcPr>
            <w:tcW w:w="1281" w:type="dxa"/>
            <w:vMerge/>
            <w:tcBorders>
              <w:top w:val="nil"/>
              <w:left w:val="single" w:sz="4" w:space="0" w:color="auto"/>
              <w:bottom w:val="single" w:sz="4" w:space="0" w:color="auto"/>
              <w:right w:val="single" w:sz="4" w:space="0" w:color="auto"/>
            </w:tcBorders>
            <w:vAlign w:val="center"/>
          </w:tcPr>
          <w:p w14:paraId="10CFA96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9A2E50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49392D1C"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p w14:paraId="41CD371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EF4DB3" w14:paraId="6711AAE6" w14:textId="77777777" w:rsidTr="00EF4DB3">
        <w:trPr>
          <w:trHeight w:val="1035"/>
        </w:trPr>
        <w:tc>
          <w:tcPr>
            <w:tcW w:w="1281" w:type="dxa"/>
            <w:tcBorders>
              <w:top w:val="nil"/>
              <w:left w:val="single" w:sz="4" w:space="0" w:color="auto"/>
              <w:bottom w:val="single" w:sz="4" w:space="0" w:color="auto"/>
              <w:right w:val="single" w:sz="4" w:space="0" w:color="auto"/>
            </w:tcBorders>
            <w:shd w:val="clear" w:color="auto" w:fill="auto"/>
          </w:tcPr>
          <w:p w14:paraId="563F2D7D" w14:textId="3369DE4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p w14:paraId="60D47D7A" w14:textId="3B6C2AA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(F1</w:t>
            </w:r>
            <w:r w:rsidR="004D3CA6" w:rsidRPr="00EF4DB3">
              <w:rPr>
                <w:rFonts w:ascii="Times New Roman" w:eastAsia="Times New Roman" w:hAnsi="Times New Roman" w:cs="Times New Roman"/>
                <w:sz w:val="20"/>
                <w:szCs w:val="20"/>
                <w:lang w:val="en-GB" w:eastAsia="es-ES"/>
              </w:rPr>
              <w:t xml:space="preserve"> – F12</w:t>
            </w:r>
            <w:r w:rsidRPr="00EF4DB3">
              <w:rPr>
                <w:rFonts w:ascii="Times New Roman" w:eastAsia="Times New Roman" w:hAnsi="Times New Roman" w:cs="Times New Roman"/>
                <w:sz w:val="20"/>
                <w:szCs w:val="20"/>
                <w:lang w:val="en-GB" w:eastAsia="es-ES"/>
              </w:rPr>
              <w:t>)</w:t>
            </w:r>
          </w:p>
        </w:tc>
        <w:tc>
          <w:tcPr>
            <w:tcW w:w="2317" w:type="dxa"/>
            <w:tcBorders>
              <w:top w:val="nil"/>
              <w:left w:val="nil"/>
              <w:bottom w:val="single" w:sz="4" w:space="0" w:color="auto"/>
              <w:right w:val="single" w:sz="4" w:space="0" w:color="auto"/>
            </w:tcBorders>
            <w:shd w:val="clear" w:color="auto" w:fill="auto"/>
            <w:hideMark/>
          </w:tcPr>
          <w:p w14:paraId="52DEA409" w14:textId="7F81A58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V </w:t>
            </w:r>
          </w:p>
        </w:tc>
        <w:tc>
          <w:tcPr>
            <w:tcW w:w="5763" w:type="dxa"/>
            <w:tcBorders>
              <w:top w:val="single" w:sz="4" w:space="0" w:color="auto"/>
              <w:left w:val="nil"/>
              <w:bottom w:val="single" w:sz="4" w:space="0" w:color="auto"/>
              <w:right w:val="single" w:sz="4" w:space="0" w:color="auto"/>
            </w:tcBorders>
            <w:shd w:val="clear" w:color="000000" w:fill="FFFFFF"/>
            <w:hideMark/>
          </w:tcPr>
          <w:p w14:paraId="4247CAA1" w14:textId="7A575F7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3E3033AD"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230D8D" w:rsidRPr="00EF4DB3" w14:paraId="77C9F75E" w14:textId="77777777" w:rsidTr="00EF4DB3">
        <w:trPr>
          <w:trHeight w:val="795"/>
        </w:trPr>
        <w:tc>
          <w:tcPr>
            <w:tcW w:w="1281" w:type="dxa"/>
            <w:tcBorders>
              <w:top w:val="nil"/>
              <w:left w:val="single" w:sz="4" w:space="0" w:color="auto"/>
              <w:bottom w:val="single" w:sz="4" w:space="0" w:color="auto"/>
              <w:right w:val="single" w:sz="4" w:space="0" w:color="auto"/>
            </w:tcBorders>
            <w:shd w:val="clear" w:color="auto" w:fill="auto"/>
          </w:tcPr>
          <w:p w14:paraId="75A2A209" w14:textId="11DEE712"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R0220/C00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p w14:paraId="44B0270A" w14:textId="7B2F337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(F13)</w:t>
            </w:r>
          </w:p>
        </w:tc>
        <w:tc>
          <w:tcPr>
            <w:tcW w:w="2317" w:type="dxa"/>
            <w:tcBorders>
              <w:top w:val="nil"/>
              <w:left w:val="nil"/>
              <w:bottom w:val="single" w:sz="4" w:space="0" w:color="auto"/>
              <w:right w:val="single" w:sz="4" w:space="0" w:color="auto"/>
            </w:tcBorders>
            <w:shd w:val="clear" w:color="auto" w:fill="auto"/>
          </w:tcPr>
          <w:p w14:paraId="34D67C88"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23743557" w14:textId="2F5366F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segments:</w:t>
            </w:r>
          </w:p>
          <w:p w14:paraId="73FE2478" w14:textId="229D1EE5" w:rsidR="00230D8D" w:rsidRPr="00EF4DB3" w:rsidRDefault="00230D8D" w:rsidP="00CE3117">
            <w:pPr>
              <w:spacing w:after="0" w:line="240" w:lineRule="auto"/>
              <w:rPr>
                <w:rFonts w:ascii="Times New Roman" w:eastAsia="Times New Roman" w:hAnsi="Times New Roman" w:cs="Times New Roman"/>
                <w:sz w:val="20"/>
                <w:szCs w:val="20"/>
                <w:lang w:val="en-GB" w:eastAsia="es-ES"/>
              </w:rPr>
            </w:pPr>
          </w:p>
        </w:tc>
      </w:tr>
      <w:tr w:rsidR="001D3EC6" w:rsidRPr="00EF4DB3" w14:paraId="62FABB17" w14:textId="77777777" w:rsidTr="00EF4DB3">
        <w:trPr>
          <w:trHeight w:val="570"/>
        </w:trPr>
        <w:tc>
          <w:tcPr>
            <w:tcW w:w="1281" w:type="dxa"/>
            <w:vMerge w:val="restart"/>
            <w:tcBorders>
              <w:top w:val="nil"/>
              <w:left w:val="single" w:sz="4" w:space="0" w:color="auto"/>
              <w:right w:val="single" w:sz="4" w:space="0" w:color="auto"/>
            </w:tcBorders>
            <w:shd w:val="clear" w:color="auto" w:fill="auto"/>
          </w:tcPr>
          <w:p w14:paraId="5CD67AB4" w14:textId="06831AB5"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R0230/C0020</w:t>
            </w:r>
          </w:p>
          <w:p w14:paraId="59B6123E" w14:textId="2B2E2BD3"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(A13)</w:t>
            </w:r>
          </w:p>
        </w:tc>
        <w:tc>
          <w:tcPr>
            <w:tcW w:w="2317" w:type="dxa"/>
            <w:vMerge w:val="restart"/>
            <w:tcBorders>
              <w:top w:val="nil"/>
              <w:left w:val="single" w:sz="4" w:space="0" w:color="auto"/>
              <w:right w:val="single" w:sz="4" w:space="0" w:color="auto"/>
            </w:tcBorders>
            <w:shd w:val="clear" w:color="auto" w:fill="auto"/>
          </w:tcPr>
          <w:p w14:paraId="38E6C00C"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076258F1"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combined standard deviation for premium and reserve risk for all segments.</w:t>
            </w:r>
          </w:p>
        </w:tc>
      </w:tr>
      <w:tr w:rsidR="001D3EC6" w:rsidRPr="00EF4DB3" w14:paraId="39250C80" w14:textId="77777777" w:rsidTr="00EF4DB3">
        <w:trPr>
          <w:trHeight w:val="720"/>
        </w:trPr>
        <w:tc>
          <w:tcPr>
            <w:tcW w:w="1281" w:type="dxa"/>
            <w:vMerge/>
            <w:tcBorders>
              <w:left w:val="single" w:sz="4" w:space="0" w:color="auto"/>
              <w:bottom w:val="single" w:sz="4" w:space="0" w:color="auto"/>
              <w:right w:val="single" w:sz="4" w:space="0" w:color="auto"/>
            </w:tcBorders>
            <w:vAlign w:val="center"/>
          </w:tcPr>
          <w:p w14:paraId="5054034D"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left w:val="single" w:sz="4" w:space="0" w:color="auto"/>
              <w:bottom w:val="single" w:sz="4" w:space="0" w:color="auto"/>
              <w:right w:val="single" w:sz="4" w:space="0" w:color="auto"/>
            </w:tcBorders>
            <w:vAlign w:val="center"/>
            <w:hideMark/>
          </w:tcPr>
          <w:p w14:paraId="420F7EB5"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677CC882" w14:textId="4250CCFB" w:rsidR="001D3EC6" w:rsidRPr="00EF4DB3" w:rsidRDefault="001D3EC6">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1E7AFF" w:rsidRPr="00EF4DB3" w14:paraId="2F6290D0" w14:textId="77777777" w:rsidTr="00521E0E">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5A2141F" w14:textId="4E9AC109"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R0300/C0100</w:t>
            </w:r>
          </w:p>
          <w:p w14:paraId="05EA98D8"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(A14)</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13F6570F"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 – life premium 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6C76A3F4"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EF4DB3" w14:paraId="6206FEB3" w14:textId="77777777" w:rsidTr="00EF4DB3">
        <w:trPr>
          <w:trHeight w:val="285"/>
        </w:trPr>
        <w:tc>
          <w:tcPr>
            <w:tcW w:w="9361" w:type="dxa"/>
            <w:gridSpan w:val="3"/>
            <w:tcBorders>
              <w:top w:val="nil"/>
              <w:left w:val="nil"/>
              <w:bottom w:val="nil"/>
              <w:right w:val="nil"/>
            </w:tcBorders>
            <w:shd w:val="clear" w:color="auto" w:fill="auto"/>
          </w:tcPr>
          <w:p w14:paraId="5D5D6C34" w14:textId="77777777"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p>
          <w:p w14:paraId="640D01B2" w14:textId="30D488C2"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lapse risk </w:t>
            </w:r>
          </w:p>
        </w:tc>
      </w:tr>
      <w:tr w:rsidR="00230D8D" w:rsidRPr="00EF4DB3" w14:paraId="5F3C0035" w14:textId="77777777" w:rsidTr="00EF4DB3">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1069F98" w14:textId="6CB47F0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lastRenderedPageBreak/>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1</w:t>
            </w:r>
            <w:r w:rsidRPr="00EF4DB3">
              <w:rPr>
                <w:rFonts w:ascii="Times New Roman" w:eastAsia="Times New Roman" w:hAnsi="Times New Roman" w:cs="Times New Roman"/>
                <w:sz w:val="20"/>
                <w:szCs w:val="20"/>
                <w:lang w:val="en-GB" w:eastAsia="es-ES"/>
              </w:rPr>
              <w:t>0</w:t>
            </w:r>
          </w:p>
          <w:p w14:paraId="5E952EB9" w14:textId="0625795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(A15)</w:t>
            </w:r>
          </w:p>
        </w:tc>
        <w:tc>
          <w:tcPr>
            <w:tcW w:w="2317" w:type="dxa"/>
            <w:tcBorders>
              <w:top w:val="single" w:sz="4" w:space="0" w:color="auto"/>
              <w:left w:val="nil"/>
              <w:bottom w:val="single" w:sz="4" w:space="0" w:color="auto"/>
              <w:right w:val="single" w:sz="4" w:space="0" w:color="auto"/>
            </w:tcBorders>
            <w:shd w:val="clear" w:color="auto" w:fill="auto"/>
            <w:hideMark/>
          </w:tcPr>
          <w:p w14:paraId="1C2E54F7"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Initial absolute values before shock – Assets – Non-life underwriting risk -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6F4672FA"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absolute value of the assets subject to the Non-life lapse risk, before the shock.</w:t>
            </w:r>
          </w:p>
          <w:p w14:paraId="7CB5D03C"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EF4DB3" w14:paraId="3373EE38" w14:textId="77777777" w:rsidTr="00EF4DB3">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6ACC064" w14:textId="3B6DBAC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2</w:t>
            </w:r>
            <w:r w:rsidRPr="00EF4DB3">
              <w:rPr>
                <w:rFonts w:ascii="Times New Roman" w:eastAsia="Times New Roman" w:hAnsi="Times New Roman" w:cs="Times New Roman"/>
                <w:sz w:val="20"/>
                <w:szCs w:val="20"/>
                <w:lang w:val="en-GB" w:eastAsia="es-ES"/>
              </w:rPr>
              <w:t>0</w:t>
            </w:r>
          </w:p>
          <w:p w14:paraId="0E683986" w14:textId="0C5DA89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(A15A)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4F737F4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4410312F" w14:textId="7BA391A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absolute value of liabilities subject to the non-life lapse risk, before the shock.</w:t>
            </w:r>
          </w:p>
          <w:p w14:paraId="3C3BB3B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230D8D" w:rsidRPr="00EF4DB3" w14:paraId="7B914B12" w14:textId="77777777" w:rsidTr="00EF4DB3">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019E17C" w14:textId="10AA28C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3</w:t>
            </w:r>
            <w:r w:rsidRPr="00EF4DB3">
              <w:rPr>
                <w:rFonts w:ascii="Times New Roman" w:eastAsia="Times New Roman" w:hAnsi="Times New Roman" w:cs="Times New Roman"/>
                <w:sz w:val="20"/>
                <w:szCs w:val="20"/>
                <w:lang w:val="en-GB" w:eastAsia="es-ES"/>
              </w:rPr>
              <w:t>0</w:t>
            </w:r>
          </w:p>
          <w:p w14:paraId="5F8F846A" w14:textId="7BEBF4B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(B15)</w:t>
            </w:r>
          </w:p>
        </w:tc>
        <w:tc>
          <w:tcPr>
            <w:tcW w:w="2317" w:type="dxa"/>
            <w:tcBorders>
              <w:top w:val="single" w:sz="4" w:space="0" w:color="auto"/>
              <w:left w:val="nil"/>
              <w:bottom w:val="single" w:sz="4" w:space="0" w:color="auto"/>
              <w:right w:val="single" w:sz="4" w:space="0" w:color="auto"/>
            </w:tcBorders>
            <w:shd w:val="clear" w:color="auto" w:fill="auto"/>
            <w:hideMark/>
          </w:tcPr>
          <w:p w14:paraId="1FD7D0F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A3E106" w14:textId="05739A42"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absolute value of the assets subject to non-life lapse risk, after the shock.</w:t>
            </w:r>
          </w:p>
          <w:p w14:paraId="28FC6D10"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EF4DB3" w14:paraId="48CC0A7B" w14:textId="77777777" w:rsidTr="00EF4DB3">
        <w:trPr>
          <w:trHeight w:val="1066"/>
        </w:trPr>
        <w:tc>
          <w:tcPr>
            <w:tcW w:w="1281" w:type="dxa"/>
            <w:tcBorders>
              <w:top w:val="nil"/>
              <w:left w:val="single" w:sz="4" w:space="0" w:color="auto"/>
              <w:bottom w:val="single" w:sz="4" w:space="0" w:color="auto"/>
              <w:right w:val="single" w:sz="4" w:space="0" w:color="auto"/>
            </w:tcBorders>
            <w:shd w:val="clear" w:color="auto" w:fill="auto"/>
          </w:tcPr>
          <w:p w14:paraId="2618D453" w14:textId="1F69ADA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p w14:paraId="60569094" w14:textId="2196375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(B15A)</w:t>
            </w:r>
          </w:p>
        </w:tc>
        <w:tc>
          <w:tcPr>
            <w:tcW w:w="2317" w:type="dxa"/>
            <w:tcBorders>
              <w:top w:val="nil"/>
              <w:left w:val="nil"/>
              <w:bottom w:val="single" w:sz="4" w:space="0" w:color="auto"/>
              <w:right w:val="single" w:sz="4" w:space="0" w:color="auto"/>
            </w:tcBorders>
            <w:shd w:val="clear" w:color="auto" w:fill="auto"/>
            <w:hideMark/>
          </w:tcPr>
          <w:p w14:paraId="73F5699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763" w:type="dxa"/>
            <w:tcBorders>
              <w:top w:val="nil"/>
              <w:left w:val="nil"/>
              <w:bottom w:val="single" w:sz="4" w:space="0" w:color="auto"/>
              <w:right w:val="single" w:sz="4" w:space="0" w:color="auto"/>
            </w:tcBorders>
            <w:shd w:val="clear" w:color="auto" w:fill="auto"/>
            <w:hideMark/>
          </w:tcPr>
          <w:p w14:paraId="593CECFA" w14:textId="53AD1D42"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absolute value of the liabilities subject to non-life lapse risk, after the shock.</w:t>
            </w:r>
          </w:p>
          <w:p w14:paraId="115C0A0A"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230D8D" w:rsidRPr="00EF4DB3" w14:paraId="4F9EBE84" w14:textId="77777777" w:rsidTr="00EF4DB3">
        <w:trPr>
          <w:trHeight w:val="1080"/>
        </w:trPr>
        <w:tc>
          <w:tcPr>
            <w:tcW w:w="1281" w:type="dxa"/>
            <w:tcBorders>
              <w:top w:val="nil"/>
              <w:left w:val="single" w:sz="4" w:space="0" w:color="auto"/>
              <w:bottom w:val="single" w:sz="4" w:space="0" w:color="auto"/>
              <w:right w:val="single" w:sz="4" w:space="0" w:color="auto"/>
            </w:tcBorders>
            <w:shd w:val="clear" w:color="auto" w:fill="auto"/>
          </w:tcPr>
          <w:p w14:paraId="1AD6C201" w14:textId="6A30344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w:t>
            </w:r>
          </w:p>
          <w:p w14:paraId="30A53D74" w14:textId="3BDD645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(C15)</w:t>
            </w:r>
          </w:p>
        </w:tc>
        <w:tc>
          <w:tcPr>
            <w:tcW w:w="2317" w:type="dxa"/>
            <w:tcBorders>
              <w:top w:val="nil"/>
              <w:left w:val="single" w:sz="4" w:space="0" w:color="auto"/>
              <w:bottom w:val="single" w:sz="4" w:space="0" w:color="auto"/>
              <w:right w:val="single" w:sz="4" w:space="0" w:color="auto"/>
            </w:tcBorders>
            <w:shd w:val="clear" w:color="auto" w:fill="auto"/>
            <w:hideMark/>
          </w:tcPr>
          <w:p w14:paraId="4E335A30" w14:textId="56533F1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Solvency capital requirement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2317D57B" w14:textId="458483DF"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423BDF6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EF4DB3" w14:paraId="75A0EDBD" w14:textId="77777777" w:rsidTr="00EF4DB3">
        <w:trPr>
          <w:trHeight w:val="285"/>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tcPr>
          <w:p w14:paraId="375E9454" w14:textId="49C33E1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6A0D5D16" w14:textId="426D1BA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(A16)</w:t>
            </w:r>
          </w:p>
        </w:tc>
        <w:tc>
          <w:tcPr>
            <w:tcW w:w="23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B91785" w14:textId="2D95CB9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Capital requirement for non–life catastrophe risk</w:t>
            </w:r>
          </w:p>
        </w:tc>
        <w:tc>
          <w:tcPr>
            <w:tcW w:w="5763" w:type="dxa"/>
            <w:tcBorders>
              <w:top w:val="single" w:sz="4" w:space="0" w:color="auto"/>
              <w:left w:val="nil"/>
              <w:bottom w:val="nil"/>
              <w:right w:val="single" w:sz="4" w:space="0" w:color="auto"/>
            </w:tcBorders>
            <w:shd w:val="clear" w:color="auto" w:fill="auto"/>
            <w:hideMark/>
          </w:tcPr>
          <w:p w14:paraId="60C80CD3" w14:textId="66B1001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total non-life catastrophe risk capital requirement.  </w:t>
            </w:r>
          </w:p>
        </w:tc>
      </w:tr>
      <w:tr w:rsidR="00230D8D" w:rsidRPr="00EF4DB3" w14:paraId="24E268CF" w14:textId="77777777" w:rsidTr="00EF4DB3">
        <w:trPr>
          <w:trHeight w:val="465"/>
        </w:trPr>
        <w:tc>
          <w:tcPr>
            <w:tcW w:w="1281" w:type="dxa"/>
            <w:vMerge/>
            <w:tcBorders>
              <w:top w:val="single" w:sz="4" w:space="0" w:color="auto"/>
              <w:left w:val="single" w:sz="4" w:space="0" w:color="auto"/>
              <w:bottom w:val="single" w:sz="4" w:space="0" w:color="auto"/>
              <w:right w:val="single" w:sz="4" w:space="0" w:color="auto"/>
            </w:tcBorders>
            <w:vAlign w:val="center"/>
          </w:tcPr>
          <w:p w14:paraId="39CD6BD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single" w:sz="4" w:space="0" w:color="auto"/>
              <w:left w:val="single" w:sz="4" w:space="0" w:color="auto"/>
              <w:bottom w:val="single" w:sz="4" w:space="0" w:color="auto"/>
              <w:right w:val="single" w:sz="4" w:space="0" w:color="auto"/>
            </w:tcBorders>
            <w:vAlign w:val="center"/>
            <w:hideMark/>
          </w:tcPr>
          <w:p w14:paraId="18AFCF0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2BA64644" w14:textId="51583605"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p>
        </w:tc>
      </w:tr>
      <w:tr w:rsidR="00230D8D" w:rsidRPr="00EF4DB3" w14:paraId="4730FCB6" w14:textId="77777777" w:rsidTr="00EF4DB3">
        <w:trPr>
          <w:trHeight w:val="855"/>
        </w:trPr>
        <w:tc>
          <w:tcPr>
            <w:tcW w:w="1281" w:type="dxa"/>
            <w:vMerge w:val="restart"/>
            <w:tcBorders>
              <w:top w:val="nil"/>
              <w:left w:val="single" w:sz="4" w:space="0" w:color="auto"/>
              <w:bottom w:val="single" w:sz="4" w:space="0" w:color="auto"/>
              <w:right w:val="single" w:sz="4" w:space="0" w:color="auto"/>
            </w:tcBorders>
            <w:shd w:val="clear" w:color="auto" w:fill="auto"/>
          </w:tcPr>
          <w:p w14:paraId="6EC9C368" w14:textId="5532DC6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D3EC6"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35131D63" w14:textId="4D5A576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(A17)</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395B1BF5" w14:textId="5E3D72A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within non-life underwriting risk module</w:t>
            </w:r>
          </w:p>
        </w:tc>
        <w:tc>
          <w:tcPr>
            <w:tcW w:w="5763" w:type="dxa"/>
            <w:tcBorders>
              <w:top w:val="nil"/>
              <w:left w:val="nil"/>
              <w:bottom w:val="nil"/>
              <w:right w:val="single" w:sz="4" w:space="0" w:color="auto"/>
            </w:tcBorders>
            <w:shd w:val="clear" w:color="auto" w:fill="auto"/>
            <w:hideMark/>
          </w:tcPr>
          <w:p w14:paraId="26E063E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1D3EC6" w:rsidRPr="00EF4DB3" w:rsidRDefault="001D3EC6" w:rsidP="001D3EC6">
            <w:pPr>
              <w:spacing w:after="0" w:line="240" w:lineRule="auto"/>
              <w:rPr>
                <w:rFonts w:ascii="Times New Roman" w:eastAsia="Times New Roman" w:hAnsi="Times New Roman" w:cs="Times New Roman"/>
                <w:sz w:val="20"/>
                <w:szCs w:val="20"/>
                <w:lang w:val="en-GB" w:eastAsia="es-ES"/>
              </w:rPr>
            </w:pPr>
          </w:p>
          <w:p w14:paraId="774C5A4C" w14:textId="34053A37" w:rsidR="001D3EC6" w:rsidRPr="00EF4DB3" w:rsidRDefault="001D3EC6">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shall be reported as a negative value</w:t>
            </w:r>
            <w:r w:rsidR="00CE3117" w:rsidRPr="00EF4DB3">
              <w:rPr>
                <w:rFonts w:ascii="Times New Roman" w:eastAsia="Times New Roman" w:hAnsi="Times New Roman" w:cs="Times New Roman"/>
                <w:sz w:val="20"/>
                <w:szCs w:val="20"/>
                <w:lang w:val="en-GB" w:eastAsia="es-ES"/>
              </w:rPr>
              <w:t xml:space="preserve"> if they reduce the capital requirement</w:t>
            </w:r>
            <w:r w:rsidRPr="00EF4DB3">
              <w:rPr>
                <w:rFonts w:ascii="Times New Roman" w:eastAsia="Times New Roman" w:hAnsi="Times New Roman" w:cs="Times New Roman"/>
                <w:sz w:val="20"/>
                <w:szCs w:val="20"/>
                <w:lang w:val="en-GB" w:eastAsia="es-ES"/>
              </w:rPr>
              <w:t>.</w:t>
            </w:r>
          </w:p>
        </w:tc>
      </w:tr>
      <w:tr w:rsidR="00230D8D" w:rsidRPr="00EF4DB3" w14:paraId="07FA61FA" w14:textId="77777777" w:rsidTr="00EF4DB3">
        <w:trPr>
          <w:trHeight w:val="236"/>
        </w:trPr>
        <w:tc>
          <w:tcPr>
            <w:tcW w:w="1281" w:type="dxa"/>
            <w:vMerge/>
            <w:tcBorders>
              <w:top w:val="nil"/>
              <w:left w:val="single" w:sz="4" w:space="0" w:color="auto"/>
              <w:bottom w:val="single" w:sz="4" w:space="0" w:color="auto"/>
              <w:right w:val="single" w:sz="4" w:space="0" w:color="auto"/>
            </w:tcBorders>
            <w:vAlign w:val="center"/>
          </w:tcPr>
          <w:p w14:paraId="3D5BA98F"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084ABD2"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37606473" w14:textId="2952AC5B" w:rsidR="00230D8D" w:rsidRPr="00EF4DB3" w:rsidRDefault="00230D8D" w:rsidP="00DA6B1B">
            <w:pPr>
              <w:spacing w:after="0" w:line="240" w:lineRule="auto"/>
              <w:rPr>
                <w:rFonts w:ascii="Times New Roman" w:eastAsia="Times New Roman" w:hAnsi="Times New Roman" w:cs="Times New Roman"/>
                <w:sz w:val="20"/>
                <w:szCs w:val="20"/>
                <w:lang w:val="en-GB" w:eastAsia="es-ES"/>
              </w:rPr>
            </w:pPr>
          </w:p>
        </w:tc>
      </w:tr>
      <w:tr w:rsidR="00230D8D" w:rsidRPr="00EF4DB3" w14:paraId="0275FCB5" w14:textId="77777777" w:rsidTr="00EF4DB3">
        <w:trPr>
          <w:trHeight w:val="843"/>
        </w:trPr>
        <w:tc>
          <w:tcPr>
            <w:tcW w:w="1281" w:type="dxa"/>
            <w:tcBorders>
              <w:top w:val="nil"/>
              <w:left w:val="single" w:sz="4" w:space="0" w:color="auto"/>
              <w:bottom w:val="single" w:sz="4" w:space="0" w:color="auto"/>
              <w:right w:val="single" w:sz="4" w:space="0" w:color="auto"/>
            </w:tcBorders>
            <w:shd w:val="clear" w:color="auto" w:fill="auto"/>
          </w:tcPr>
          <w:p w14:paraId="1DD7F68B" w14:textId="7073FBD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w:t>
            </w:r>
            <w:r w:rsidR="002B75B0" w:rsidRPr="00EF4DB3">
              <w:rPr>
                <w:rFonts w:ascii="Times New Roman" w:eastAsia="Times New Roman" w:hAnsi="Times New Roman" w:cs="Times New Roman"/>
                <w:sz w:val="20"/>
                <w:szCs w:val="20"/>
                <w:lang w:val="en-GB" w:eastAsia="es-ES"/>
              </w:rPr>
              <w:t>07</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4566C701" w14:textId="0119EA1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(A18)</w:t>
            </w:r>
          </w:p>
        </w:tc>
        <w:tc>
          <w:tcPr>
            <w:tcW w:w="2317" w:type="dxa"/>
            <w:tcBorders>
              <w:top w:val="nil"/>
              <w:left w:val="nil"/>
              <w:bottom w:val="single" w:sz="4" w:space="0" w:color="auto"/>
              <w:right w:val="single" w:sz="4" w:space="0" w:color="auto"/>
            </w:tcBorders>
            <w:shd w:val="clear" w:color="auto" w:fill="auto"/>
            <w:hideMark/>
          </w:tcPr>
          <w:p w14:paraId="12ED4B35"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non-life underwriting risk</w:t>
            </w:r>
          </w:p>
        </w:tc>
        <w:tc>
          <w:tcPr>
            <w:tcW w:w="5763" w:type="dxa"/>
            <w:tcBorders>
              <w:top w:val="nil"/>
              <w:left w:val="nil"/>
              <w:bottom w:val="single" w:sz="4" w:space="0" w:color="auto"/>
              <w:right w:val="single" w:sz="4" w:space="0" w:color="auto"/>
            </w:tcBorders>
            <w:shd w:val="clear" w:color="000000" w:fill="FFFFFF"/>
            <w:hideMark/>
          </w:tcPr>
          <w:p w14:paraId="346ADB90" w14:textId="4C90F198"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EF4DB3" w:rsidRDefault="00641969">
      <w:pPr>
        <w:rPr>
          <w:rFonts w:ascii="Times New Roman" w:hAnsi="Times New Roman" w:cs="Times New Roman"/>
          <w:sz w:val="20"/>
          <w:szCs w:val="20"/>
          <w:lang w:val="en-GB"/>
        </w:rPr>
      </w:pPr>
    </w:p>
    <w:sectPr w:rsidR="00641969" w:rsidRPr="00EF4DB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A5C1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79"/>
    <w:rsid w:val="0004265E"/>
    <w:rsid w:val="000B4807"/>
    <w:rsid w:val="00123538"/>
    <w:rsid w:val="00160E24"/>
    <w:rsid w:val="001D3EC6"/>
    <w:rsid w:val="001E7AFF"/>
    <w:rsid w:val="00230D8D"/>
    <w:rsid w:val="002B75B0"/>
    <w:rsid w:val="002C2245"/>
    <w:rsid w:val="0031064C"/>
    <w:rsid w:val="00310A7A"/>
    <w:rsid w:val="00334FBB"/>
    <w:rsid w:val="00376E66"/>
    <w:rsid w:val="00427684"/>
    <w:rsid w:val="004C19AB"/>
    <w:rsid w:val="004D3CA6"/>
    <w:rsid w:val="005677EA"/>
    <w:rsid w:val="0063093A"/>
    <w:rsid w:val="00637FC0"/>
    <w:rsid w:val="00641969"/>
    <w:rsid w:val="00663E7A"/>
    <w:rsid w:val="006A1AA2"/>
    <w:rsid w:val="006C7C18"/>
    <w:rsid w:val="006D131E"/>
    <w:rsid w:val="00717935"/>
    <w:rsid w:val="00737077"/>
    <w:rsid w:val="00743749"/>
    <w:rsid w:val="007657AF"/>
    <w:rsid w:val="007F09C5"/>
    <w:rsid w:val="008048D4"/>
    <w:rsid w:val="008135D9"/>
    <w:rsid w:val="008E11C7"/>
    <w:rsid w:val="00905E07"/>
    <w:rsid w:val="00983653"/>
    <w:rsid w:val="009F4C8D"/>
    <w:rsid w:val="00A742C8"/>
    <w:rsid w:val="00AA2C97"/>
    <w:rsid w:val="00AF1EAE"/>
    <w:rsid w:val="00B05C21"/>
    <w:rsid w:val="00B13D6C"/>
    <w:rsid w:val="00B17BA5"/>
    <w:rsid w:val="00B366FB"/>
    <w:rsid w:val="00B37A91"/>
    <w:rsid w:val="00BF0FF6"/>
    <w:rsid w:val="00C24D79"/>
    <w:rsid w:val="00C769FD"/>
    <w:rsid w:val="00CD0D7F"/>
    <w:rsid w:val="00CE3117"/>
    <w:rsid w:val="00D05DDB"/>
    <w:rsid w:val="00D574EC"/>
    <w:rsid w:val="00D94CDD"/>
    <w:rsid w:val="00DA6B1B"/>
    <w:rsid w:val="00E27121"/>
    <w:rsid w:val="00EF4DB3"/>
    <w:rsid w:val="00FB6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 w:id="206001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5FD6B-736F-444C-B26A-1EFBEBF8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1208</Words>
  <Characters>6891</Characters>
  <Application>Microsoft Office Word</Application>
  <DocSecurity>0</DocSecurity>
  <Lines>57</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9</cp:revision>
  <dcterms:created xsi:type="dcterms:W3CDTF">2014-11-10T14:20:00Z</dcterms:created>
  <dcterms:modified xsi:type="dcterms:W3CDTF">2014-12-01T14:21:00Z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555970949</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